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97A" w:rsidRDefault="00C56B50">
      <w:pPr>
        <w:tabs>
          <w:tab w:val="left" w:pos="535"/>
          <w:tab w:val="center" w:pos="4896"/>
        </w:tabs>
        <w:spacing w:after="0"/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E2797A" w:rsidRPr="004C1C5F" w:rsidRDefault="00C56B50" w:rsidP="004C1C5F">
      <w:pPr>
        <w:spacing w:after="0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State Issues</w:t>
      </w:r>
    </w:p>
    <w:p w:rsidR="00E2797A" w:rsidRPr="00E919D6" w:rsidRDefault="00C56B50">
      <w:pPr>
        <w:spacing w:after="0"/>
        <w:rPr>
          <w:b/>
          <w:color w:val="FF0000"/>
          <w:sz w:val="28"/>
          <w:szCs w:val="28"/>
          <w:u w:val="single"/>
        </w:rPr>
      </w:pPr>
      <w:r w:rsidRPr="00E919D6">
        <w:rPr>
          <w:b/>
          <w:color w:val="FF0000"/>
          <w:sz w:val="28"/>
          <w:szCs w:val="28"/>
          <w:u w:val="single"/>
        </w:rPr>
        <w:t>School Finance:</w:t>
      </w:r>
    </w:p>
    <w:p w:rsidR="00E2797A" w:rsidRDefault="00C56B50" w:rsidP="00B75842">
      <w:pPr>
        <w:spacing w:after="0"/>
        <w:rPr>
          <w:b/>
          <w:color w:val="0000CC"/>
          <w:sz w:val="20"/>
          <w:szCs w:val="20"/>
          <w:u w:val="single"/>
        </w:rPr>
      </w:pPr>
      <w:r>
        <w:rPr>
          <w:b/>
          <w:color w:val="0000CC"/>
          <w:sz w:val="20"/>
          <w:szCs w:val="20"/>
          <w:u w:val="single"/>
        </w:rPr>
        <w:t>MARE Supports:</w:t>
      </w:r>
    </w:p>
    <w:p w:rsidR="00B51AE6" w:rsidRDefault="00B51AE6" w:rsidP="00B51AE6">
      <w:pPr>
        <w:pStyle w:val="NoSpacing"/>
      </w:pPr>
    </w:p>
    <w:p w:rsidR="00B51AE6" w:rsidRDefault="004B5734" w:rsidP="00B51AE6">
      <w:pPr>
        <w:numPr>
          <w:ilvl w:val="0"/>
          <w:numId w:val="5"/>
        </w:numPr>
        <w:spacing w:before="240" w:after="0"/>
        <w:rPr>
          <w:b/>
          <w:sz w:val="20"/>
          <w:szCs w:val="20"/>
        </w:rPr>
      </w:pPr>
      <w:r w:rsidRPr="004B5734">
        <w:rPr>
          <w:b/>
          <w:sz w:val="20"/>
          <w:szCs w:val="20"/>
        </w:rPr>
        <w:t>Continued full funding of th</w:t>
      </w:r>
      <w:r w:rsidR="00390952">
        <w:rPr>
          <w:b/>
          <w:sz w:val="20"/>
          <w:szCs w:val="20"/>
        </w:rPr>
        <w:t xml:space="preserve">e Foundation Formula.  </w:t>
      </w:r>
    </w:p>
    <w:p w:rsidR="00B51AE6" w:rsidRPr="00C63501" w:rsidRDefault="00B51AE6" w:rsidP="00B51AE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C63501">
        <w:rPr>
          <w:b/>
          <w:sz w:val="20"/>
          <w:szCs w:val="20"/>
        </w:rPr>
        <w:t xml:space="preserve">The </w:t>
      </w:r>
      <w:r w:rsidR="00D323D2" w:rsidRPr="00C63501">
        <w:rPr>
          <w:b/>
          <w:sz w:val="20"/>
          <w:szCs w:val="20"/>
        </w:rPr>
        <w:t xml:space="preserve">DESE </w:t>
      </w:r>
      <w:r w:rsidRPr="00C63501">
        <w:rPr>
          <w:b/>
          <w:sz w:val="20"/>
          <w:szCs w:val="20"/>
        </w:rPr>
        <w:t>recommended plan to fully fund Transportation (75% of allowable costs) with increases of $40 million each year for the next five years</w:t>
      </w:r>
      <w:r w:rsidRPr="00C63501">
        <w:rPr>
          <w:sz w:val="20"/>
          <w:szCs w:val="20"/>
        </w:rPr>
        <w:t>.</w:t>
      </w:r>
    </w:p>
    <w:p w:rsidR="00E2797A" w:rsidRPr="00B51AE6" w:rsidRDefault="00C56B50" w:rsidP="00B51AE6">
      <w:pPr>
        <w:pStyle w:val="NoSpacing"/>
        <w:numPr>
          <w:ilvl w:val="0"/>
          <w:numId w:val="5"/>
        </w:numPr>
        <w:rPr>
          <w:sz w:val="20"/>
          <w:szCs w:val="20"/>
        </w:rPr>
      </w:pPr>
      <w:r w:rsidRPr="004B5734">
        <w:rPr>
          <w:b/>
          <w:sz w:val="20"/>
          <w:szCs w:val="20"/>
        </w:rPr>
        <w:t>Restoration of cate</w:t>
      </w:r>
      <w:r w:rsidR="00B51AE6">
        <w:rPr>
          <w:b/>
          <w:sz w:val="20"/>
          <w:szCs w:val="20"/>
        </w:rPr>
        <w:t>gorical funding (</w:t>
      </w:r>
      <w:r w:rsidRPr="004B5734">
        <w:rPr>
          <w:b/>
          <w:sz w:val="20"/>
          <w:szCs w:val="20"/>
        </w:rPr>
        <w:t xml:space="preserve">Parents as Teachers, special programs, safe school grants, alternative </w:t>
      </w:r>
      <w:r w:rsidR="00B51AE6">
        <w:rPr>
          <w:b/>
          <w:sz w:val="20"/>
          <w:szCs w:val="20"/>
        </w:rPr>
        <w:t xml:space="preserve">      </w:t>
      </w:r>
      <w:r w:rsidRPr="004B5734">
        <w:rPr>
          <w:b/>
          <w:sz w:val="20"/>
          <w:szCs w:val="20"/>
        </w:rPr>
        <w:t>education/instruction program options, etc).</w:t>
      </w:r>
      <w:r w:rsidR="00752D1D" w:rsidRPr="004B5734">
        <w:rPr>
          <w:b/>
          <w:sz w:val="20"/>
          <w:szCs w:val="20"/>
        </w:rPr>
        <w:t xml:space="preserve"> </w:t>
      </w:r>
    </w:p>
    <w:p w:rsidR="00E2797A" w:rsidRPr="004B5734" w:rsidRDefault="00C56B50" w:rsidP="00B51AE6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4B5734">
        <w:rPr>
          <w:b/>
          <w:sz w:val="20"/>
          <w:szCs w:val="20"/>
        </w:rPr>
        <w:t>Reformation of Missouri tax credits to at a minimum allow for the establishment of caps on programs where feasible, identify sunset dates on ALL tax credits, NOT subject tax credits to appropriations,</w:t>
      </w:r>
      <w:r w:rsidR="004B5734">
        <w:rPr>
          <w:b/>
          <w:sz w:val="20"/>
          <w:szCs w:val="20"/>
        </w:rPr>
        <w:t xml:space="preserve"> and the</w:t>
      </w:r>
      <w:r w:rsidRPr="004B5734">
        <w:rPr>
          <w:b/>
          <w:sz w:val="20"/>
          <w:szCs w:val="20"/>
        </w:rPr>
        <w:t xml:space="preserve"> elimination of some tax credit programs.</w:t>
      </w:r>
    </w:p>
    <w:p w:rsidR="00E2797A" w:rsidRPr="003F2C77" w:rsidRDefault="00C56B50" w:rsidP="00B51AE6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3F2C77">
        <w:rPr>
          <w:b/>
          <w:sz w:val="20"/>
          <w:szCs w:val="20"/>
        </w:rPr>
        <w:t>Legislation removing school districts from prevailing wage requirements.</w:t>
      </w:r>
      <w:r w:rsidR="004B5734" w:rsidRPr="003F2C77">
        <w:rPr>
          <w:b/>
          <w:sz w:val="20"/>
          <w:szCs w:val="20"/>
        </w:rPr>
        <w:t xml:space="preserve"> </w:t>
      </w:r>
    </w:p>
    <w:p w:rsidR="00E2797A" w:rsidRPr="004B5734" w:rsidRDefault="00C56B50" w:rsidP="00B51AE6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4B5734">
        <w:rPr>
          <w:b/>
          <w:sz w:val="20"/>
          <w:szCs w:val="20"/>
        </w:rPr>
        <w:t>Incre</w:t>
      </w:r>
      <w:r w:rsidR="00B75842" w:rsidRPr="004B5734">
        <w:rPr>
          <w:b/>
          <w:sz w:val="20"/>
          <w:szCs w:val="20"/>
        </w:rPr>
        <w:t>asing a school district’s bonding capacity to 20% and allowing district voters to approve bond issues with a simple majority vote.</w:t>
      </w:r>
    </w:p>
    <w:p w:rsidR="00B51AE6" w:rsidRPr="00C63501" w:rsidRDefault="00C56B50" w:rsidP="00C63501">
      <w:pPr>
        <w:pStyle w:val="ListParagraph"/>
        <w:numPr>
          <w:ilvl w:val="0"/>
          <w:numId w:val="5"/>
        </w:numPr>
        <w:spacing w:after="0"/>
        <w:rPr>
          <w:b/>
          <w:sz w:val="20"/>
          <w:szCs w:val="20"/>
        </w:rPr>
      </w:pPr>
      <w:r w:rsidRPr="004B5734">
        <w:rPr>
          <w:b/>
          <w:sz w:val="20"/>
          <w:szCs w:val="20"/>
        </w:rPr>
        <w:t>Legislation that would provide for fair and equitable tuition and transportation rates for all schools st</w:t>
      </w:r>
      <w:r w:rsidR="00B75842" w:rsidRPr="004B5734">
        <w:rPr>
          <w:b/>
          <w:sz w:val="20"/>
          <w:szCs w:val="20"/>
        </w:rPr>
        <w:t xml:space="preserve">atewide for K-8 and K-12. </w:t>
      </w:r>
    </w:p>
    <w:p w:rsidR="00E2797A" w:rsidRPr="004B5734" w:rsidRDefault="00E2797A">
      <w:pPr>
        <w:pStyle w:val="ListParagraph"/>
        <w:spacing w:after="0"/>
        <w:ind w:left="0"/>
        <w:rPr>
          <w:b/>
          <w:color w:val="0000CC"/>
          <w:sz w:val="10"/>
          <w:szCs w:val="10"/>
          <w:u w:val="single"/>
        </w:rPr>
      </w:pPr>
    </w:p>
    <w:p w:rsidR="00E2797A" w:rsidRPr="004B5734" w:rsidRDefault="00C56B50" w:rsidP="00B75842">
      <w:pPr>
        <w:pStyle w:val="ListParagraph"/>
        <w:spacing w:after="0"/>
        <w:ind w:left="0"/>
        <w:rPr>
          <w:b/>
          <w:color w:val="0000CC"/>
          <w:sz w:val="20"/>
          <w:szCs w:val="20"/>
          <w:u w:val="single"/>
        </w:rPr>
      </w:pPr>
      <w:r w:rsidRPr="004B5734">
        <w:rPr>
          <w:b/>
          <w:color w:val="0000CC"/>
          <w:sz w:val="20"/>
          <w:szCs w:val="20"/>
          <w:u w:val="single"/>
        </w:rPr>
        <w:t>MARE Opposes:</w:t>
      </w:r>
    </w:p>
    <w:p w:rsidR="00E2797A" w:rsidRPr="004B5734" w:rsidRDefault="00C56B50" w:rsidP="00B51AE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B5734">
        <w:rPr>
          <w:b/>
          <w:sz w:val="20"/>
          <w:szCs w:val="20"/>
        </w:rPr>
        <w:t>Mandating new programs without appropriate funding for maintaining such programs.</w:t>
      </w:r>
    </w:p>
    <w:p w:rsidR="00E2797A" w:rsidRPr="004B5734" w:rsidRDefault="00C56B50" w:rsidP="00B51AE6">
      <w:pPr>
        <w:pStyle w:val="ListParagraph"/>
        <w:numPr>
          <w:ilvl w:val="0"/>
          <w:numId w:val="1"/>
        </w:numPr>
        <w:spacing w:after="0"/>
        <w:rPr>
          <w:b/>
          <w:sz w:val="20"/>
          <w:szCs w:val="20"/>
        </w:rPr>
      </w:pPr>
      <w:r w:rsidRPr="004B5734">
        <w:rPr>
          <w:b/>
          <w:sz w:val="20"/>
          <w:szCs w:val="20"/>
        </w:rPr>
        <w:t xml:space="preserve">Tax </w:t>
      </w:r>
      <w:r w:rsidR="00752D1D" w:rsidRPr="004B5734">
        <w:rPr>
          <w:b/>
          <w:sz w:val="20"/>
          <w:szCs w:val="20"/>
        </w:rPr>
        <w:t xml:space="preserve">reform or any tax </w:t>
      </w:r>
      <w:r w:rsidRPr="004B5734">
        <w:rPr>
          <w:b/>
          <w:sz w:val="20"/>
          <w:szCs w:val="20"/>
        </w:rPr>
        <w:t>modification (reduction) legi</w:t>
      </w:r>
      <w:r w:rsidR="00752D1D" w:rsidRPr="004B5734">
        <w:rPr>
          <w:b/>
          <w:sz w:val="20"/>
          <w:szCs w:val="20"/>
        </w:rPr>
        <w:t>slation</w:t>
      </w:r>
      <w:r w:rsidRPr="004B5734">
        <w:rPr>
          <w:b/>
          <w:sz w:val="20"/>
          <w:szCs w:val="20"/>
        </w:rPr>
        <w:t xml:space="preserve"> that reduces the funding available to provide for state programs/services</w:t>
      </w:r>
      <w:r w:rsidR="00752D1D" w:rsidRPr="004B5734">
        <w:rPr>
          <w:b/>
          <w:sz w:val="20"/>
          <w:szCs w:val="20"/>
        </w:rPr>
        <w:t>.</w:t>
      </w:r>
    </w:p>
    <w:p w:rsidR="00E2797A" w:rsidRPr="004B5734" w:rsidRDefault="00E2797A">
      <w:pPr>
        <w:pStyle w:val="ListParagraph"/>
        <w:spacing w:after="0"/>
        <w:ind w:left="0"/>
        <w:rPr>
          <w:b/>
          <w:color w:val="0000CC"/>
          <w:sz w:val="10"/>
          <w:szCs w:val="10"/>
        </w:rPr>
      </w:pPr>
    </w:p>
    <w:p w:rsidR="00E2797A" w:rsidRPr="00C63501" w:rsidRDefault="00C56B50" w:rsidP="00C63501">
      <w:pPr>
        <w:pStyle w:val="ListParagraph"/>
        <w:spacing w:after="0"/>
        <w:ind w:left="0"/>
        <w:rPr>
          <w:b/>
          <w:color w:val="FF0000"/>
          <w:sz w:val="28"/>
          <w:szCs w:val="28"/>
          <w:u w:val="single"/>
        </w:rPr>
      </w:pPr>
      <w:r w:rsidRPr="00E919D6">
        <w:rPr>
          <w:b/>
          <w:color w:val="FF0000"/>
          <w:sz w:val="28"/>
          <w:szCs w:val="28"/>
          <w:u w:val="single"/>
        </w:rPr>
        <w:t>School Governance:</w:t>
      </w:r>
    </w:p>
    <w:p w:rsidR="00E2797A" w:rsidRPr="004B5734" w:rsidRDefault="00E2797A">
      <w:pPr>
        <w:pStyle w:val="ListParagraph"/>
        <w:spacing w:after="0"/>
        <w:ind w:left="0"/>
        <w:rPr>
          <w:b/>
          <w:color w:val="0000CC"/>
          <w:sz w:val="10"/>
          <w:szCs w:val="10"/>
          <w:u w:val="single"/>
        </w:rPr>
      </w:pPr>
    </w:p>
    <w:p w:rsidR="00E2797A" w:rsidRPr="004B5734" w:rsidRDefault="00C56B50" w:rsidP="00752D1D">
      <w:pPr>
        <w:pStyle w:val="ListParagraph"/>
        <w:spacing w:after="0"/>
        <w:ind w:left="0"/>
        <w:rPr>
          <w:b/>
          <w:color w:val="0000CC"/>
          <w:sz w:val="20"/>
          <w:szCs w:val="20"/>
          <w:u w:val="single"/>
        </w:rPr>
      </w:pPr>
      <w:r w:rsidRPr="004B5734">
        <w:rPr>
          <w:b/>
          <w:color w:val="0000CC"/>
          <w:sz w:val="20"/>
          <w:szCs w:val="20"/>
          <w:u w:val="single"/>
        </w:rPr>
        <w:t>MARE Opposes:</w:t>
      </w:r>
    </w:p>
    <w:p w:rsidR="00E2797A" w:rsidRPr="004B5734" w:rsidRDefault="00B51AE6" w:rsidP="00B51AE6">
      <w:pPr>
        <w:pStyle w:val="ListParagraph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 </w:t>
      </w:r>
      <w:r>
        <w:rPr>
          <w:b/>
          <w:sz w:val="20"/>
          <w:szCs w:val="20"/>
        </w:rPr>
        <w:tab/>
      </w:r>
      <w:r w:rsidR="00C56B50" w:rsidRPr="004B5734">
        <w:rPr>
          <w:b/>
          <w:sz w:val="20"/>
          <w:szCs w:val="20"/>
        </w:rPr>
        <w:t>The restriction/removal of the Board of Education’s local control of public school districts.</w:t>
      </w:r>
    </w:p>
    <w:p w:rsidR="00E2797A" w:rsidRPr="004B5734" w:rsidRDefault="00DA7B6B" w:rsidP="00DA7B6B">
      <w:pPr>
        <w:pStyle w:val="ListParagraph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b/>
          <w:sz w:val="20"/>
          <w:szCs w:val="20"/>
        </w:rPr>
        <w:tab/>
      </w:r>
      <w:r w:rsidR="00C56B50" w:rsidRPr="004B5734">
        <w:rPr>
          <w:b/>
          <w:sz w:val="20"/>
          <w:szCs w:val="20"/>
        </w:rPr>
        <w:t>Forced consolidation of any school district.</w:t>
      </w:r>
      <w:r w:rsidR="004B5734">
        <w:rPr>
          <w:b/>
          <w:sz w:val="20"/>
          <w:szCs w:val="20"/>
        </w:rPr>
        <w:t xml:space="preserve"> </w:t>
      </w:r>
    </w:p>
    <w:p w:rsidR="00E2797A" w:rsidRPr="004B5734" w:rsidRDefault="00DA7B6B" w:rsidP="00DA7B6B">
      <w:pPr>
        <w:pStyle w:val="ListParagraph"/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ab/>
      </w:r>
      <w:r w:rsidR="00C56B50" w:rsidRPr="004B5734">
        <w:rPr>
          <w:b/>
          <w:sz w:val="20"/>
          <w:szCs w:val="20"/>
        </w:rPr>
        <w:t>Forced open enrollment, vouchers, tuition tax credits</w:t>
      </w:r>
      <w:r w:rsidR="00441729">
        <w:rPr>
          <w:b/>
          <w:sz w:val="20"/>
          <w:szCs w:val="20"/>
        </w:rPr>
        <w:t xml:space="preserve">, </w:t>
      </w:r>
      <w:r w:rsidR="00441729" w:rsidRPr="00441729">
        <w:rPr>
          <w:b/>
          <w:sz w:val="20"/>
          <w:szCs w:val="20"/>
          <w:highlight w:val="yellow"/>
        </w:rPr>
        <w:t>any expansion of charter schools without equitable</w:t>
      </w:r>
      <w:r w:rsidR="00441729">
        <w:rPr>
          <w:b/>
          <w:sz w:val="20"/>
          <w:szCs w:val="20"/>
        </w:rPr>
        <w:t xml:space="preserve"> </w:t>
      </w:r>
      <w:r w:rsidR="00441729">
        <w:rPr>
          <w:b/>
          <w:sz w:val="20"/>
          <w:szCs w:val="20"/>
        </w:rPr>
        <w:tab/>
      </w:r>
      <w:r w:rsidR="00441729" w:rsidRPr="00441729">
        <w:rPr>
          <w:b/>
          <w:sz w:val="20"/>
          <w:szCs w:val="20"/>
          <w:highlight w:val="yellow"/>
        </w:rPr>
        <w:t>accountability standards</w:t>
      </w:r>
      <w:r w:rsidR="00C56B50" w:rsidRPr="004B5734">
        <w:rPr>
          <w:b/>
          <w:sz w:val="20"/>
          <w:szCs w:val="20"/>
        </w:rPr>
        <w:t xml:space="preserve"> and use of publ</w:t>
      </w:r>
      <w:r w:rsidR="004B5734">
        <w:rPr>
          <w:b/>
          <w:sz w:val="20"/>
          <w:szCs w:val="20"/>
        </w:rPr>
        <w:t>ic funds for non-public schools.</w:t>
      </w:r>
    </w:p>
    <w:p w:rsidR="00E2797A" w:rsidRPr="004B5734" w:rsidRDefault="00E2797A">
      <w:pPr>
        <w:pStyle w:val="ListParagraph"/>
        <w:spacing w:after="0"/>
        <w:ind w:left="0"/>
        <w:jc w:val="center"/>
        <w:rPr>
          <w:b/>
          <w:sz w:val="10"/>
          <w:szCs w:val="10"/>
        </w:rPr>
      </w:pPr>
    </w:p>
    <w:p w:rsidR="004C1C5F" w:rsidRPr="00E919D6" w:rsidRDefault="004C1C5F" w:rsidP="004C1C5F">
      <w:pPr>
        <w:pStyle w:val="ListParagraph"/>
        <w:spacing w:after="0"/>
        <w:ind w:left="0"/>
        <w:rPr>
          <w:b/>
          <w:color w:val="FF0000"/>
          <w:sz w:val="28"/>
          <w:szCs w:val="28"/>
          <w:u w:val="single"/>
        </w:rPr>
      </w:pPr>
      <w:r w:rsidRPr="00E919D6">
        <w:rPr>
          <w:b/>
          <w:color w:val="FF0000"/>
          <w:sz w:val="28"/>
          <w:szCs w:val="28"/>
          <w:u w:val="single"/>
        </w:rPr>
        <w:t>Specific MARE Issues:</w:t>
      </w:r>
    </w:p>
    <w:p w:rsidR="004C1C5F" w:rsidRPr="004B5734" w:rsidRDefault="004C1C5F" w:rsidP="004C1C5F">
      <w:pPr>
        <w:pStyle w:val="ListParagraph"/>
        <w:numPr>
          <w:ilvl w:val="3"/>
          <w:numId w:val="2"/>
        </w:numPr>
        <w:spacing w:after="0"/>
        <w:rPr>
          <w:b/>
          <w:sz w:val="20"/>
          <w:szCs w:val="20"/>
        </w:rPr>
      </w:pPr>
      <w:r w:rsidRPr="004B5734">
        <w:rPr>
          <w:b/>
          <w:sz w:val="20"/>
          <w:szCs w:val="20"/>
        </w:rPr>
        <w:t>MARE will support legislat</w:t>
      </w:r>
      <w:r w:rsidR="00FB7C5D">
        <w:rPr>
          <w:b/>
          <w:sz w:val="20"/>
          <w:szCs w:val="20"/>
        </w:rPr>
        <w:t xml:space="preserve">ion/amendments that </w:t>
      </w:r>
      <w:r w:rsidR="00FB7C5D" w:rsidRPr="00C63501">
        <w:rPr>
          <w:b/>
          <w:sz w:val="20"/>
          <w:szCs w:val="20"/>
        </w:rPr>
        <w:t>will continue to provide</w:t>
      </w:r>
      <w:r w:rsidRPr="004B5734">
        <w:rPr>
          <w:b/>
          <w:sz w:val="20"/>
          <w:szCs w:val="20"/>
        </w:rPr>
        <w:t xml:space="preserve"> funding to MARE (state budget line item) for</w:t>
      </w:r>
      <w:r w:rsidR="007A487F" w:rsidRPr="004B5734">
        <w:rPr>
          <w:b/>
          <w:sz w:val="20"/>
          <w:szCs w:val="20"/>
        </w:rPr>
        <w:t xml:space="preserve"> mandated</w:t>
      </w:r>
      <w:r w:rsidRPr="004B5734">
        <w:rPr>
          <w:b/>
          <w:sz w:val="20"/>
          <w:szCs w:val="20"/>
        </w:rPr>
        <w:t xml:space="preserve"> school board training services to rural Missouri school districts.</w:t>
      </w:r>
    </w:p>
    <w:p w:rsidR="00E2797A" w:rsidRPr="004C1C5F" w:rsidRDefault="00E2797A" w:rsidP="00752D1D">
      <w:pPr>
        <w:pStyle w:val="ListParagraph"/>
        <w:spacing w:after="0"/>
        <w:ind w:left="2880"/>
        <w:rPr>
          <w:b/>
          <w:sz w:val="20"/>
          <w:szCs w:val="20"/>
        </w:rPr>
      </w:pPr>
    </w:p>
    <w:sectPr w:rsidR="00E2797A" w:rsidRPr="004C1C5F" w:rsidSect="00E2797A">
      <w:headerReference w:type="default" r:id="rId7"/>
      <w:pgSz w:w="12240" w:h="15840"/>
      <w:pgMar w:top="1440" w:right="1008" w:bottom="1008" w:left="1440" w:header="720" w:footer="720" w:gutter="0"/>
      <w:pgBorders w:offsetFrom="page">
        <w:top w:val="double" w:sz="6" w:space="24" w:color="FF0000"/>
        <w:left w:val="double" w:sz="6" w:space="24" w:color="FF0000"/>
        <w:bottom w:val="double" w:sz="6" w:space="24" w:color="FF0000"/>
        <w:right w:val="double" w:sz="6" w:space="24" w:color="FF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AD2" w:rsidRDefault="00384AD2" w:rsidP="00E2797A">
      <w:pPr>
        <w:spacing w:after="0" w:line="240" w:lineRule="auto"/>
      </w:pPr>
      <w:r>
        <w:separator/>
      </w:r>
    </w:p>
  </w:endnote>
  <w:endnote w:type="continuationSeparator" w:id="0">
    <w:p w:rsidR="00384AD2" w:rsidRDefault="00384AD2" w:rsidP="00E2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AD2" w:rsidRDefault="00384AD2" w:rsidP="00E2797A">
      <w:pPr>
        <w:spacing w:after="0" w:line="240" w:lineRule="auto"/>
      </w:pPr>
      <w:r w:rsidRPr="00E2797A">
        <w:rPr>
          <w:color w:val="000000"/>
        </w:rPr>
        <w:separator/>
      </w:r>
    </w:p>
  </w:footnote>
  <w:footnote w:type="continuationSeparator" w:id="0">
    <w:p w:rsidR="00384AD2" w:rsidRDefault="00384AD2" w:rsidP="00E27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7A" w:rsidRDefault="009040B8">
    <w:pPr>
      <w:tabs>
        <w:tab w:val="left" w:pos="535"/>
        <w:tab w:val="center" w:pos="4896"/>
      </w:tabs>
      <w:spacing w:after="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0;margin-top:0;width:71.3pt;height:67.25pt;z-index:-1;visibility:visible">
          <v:imagedata r:id="rId1" o:title="26_years LOGO"/>
        </v:shape>
      </w:pict>
    </w:r>
    <w:r w:rsidR="00E2797A">
      <w:rPr>
        <w:b/>
        <w:i/>
        <w:color w:val="FF0000"/>
        <w:sz w:val="40"/>
        <w:szCs w:val="40"/>
      </w:rPr>
      <w:t>Missouri Association of Rural Education</w:t>
    </w:r>
  </w:p>
  <w:p w:rsidR="00E2797A" w:rsidRDefault="00E2797A">
    <w:pPr>
      <w:tabs>
        <w:tab w:val="left" w:pos="535"/>
        <w:tab w:val="center" w:pos="4896"/>
      </w:tabs>
      <w:spacing w:after="0"/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Legislative Platform</w:t>
    </w:r>
  </w:p>
  <w:p w:rsidR="00E2797A" w:rsidRDefault="00E82DDD">
    <w:pPr>
      <w:tabs>
        <w:tab w:val="left" w:pos="535"/>
        <w:tab w:val="center" w:pos="4896"/>
      </w:tabs>
      <w:spacing w:after="0"/>
      <w:jc w:val="center"/>
      <w:rPr>
        <w:b/>
        <w:i/>
        <w:color w:val="002060"/>
        <w:sz w:val="28"/>
        <w:szCs w:val="28"/>
      </w:rPr>
    </w:pPr>
    <w:r>
      <w:rPr>
        <w:b/>
        <w:i/>
        <w:color w:val="002060"/>
        <w:sz w:val="28"/>
        <w:szCs w:val="28"/>
      </w:rPr>
      <w:t>2018-2019</w:t>
    </w:r>
  </w:p>
  <w:p w:rsidR="00E2797A" w:rsidRDefault="00441729">
    <w:pPr>
      <w:spacing w:after="0"/>
      <w:jc w:val="center"/>
    </w:pPr>
    <w:r>
      <w:rPr>
        <w:noProof/>
      </w:rPr>
      <w:pict>
        <v:shape id="Picture 1" o:spid="_x0000_i1025" type="#_x0000_t75" alt="26_years LOGO" style="width:534.75pt;height:505.5pt;visibility:visible">
          <v:imagedata r:id="rId1" o:title="26_years LOGO"/>
        </v:shape>
      </w:pict>
    </w:r>
    <w:r w:rsidR="00E2797A">
      <w:rPr>
        <w:b/>
        <w:i/>
        <w:color w:val="000066"/>
        <w:sz w:val="28"/>
        <w:szCs w:val="28"/>
      </w:rPr>
      <w:t>Legislative Platform</w:t>
    </w:r>
  </w:p>
  <w:p w:rsidR="00E2797A" w:rsidRDefault="00E2797A">
    <w:pPr>
      <w:spacing w:after="0"/>
      <w:jc w:val="center"/>
      <w:rPr>
        <w:b/>
        <w:i/>
        <w:color w:val="000066"/>
        <w:sz w:val="24"/>
        <w:szCs w:val="24"/>
      </w:rPr>
    </w:pPr>
    <w:r>
      <w:rPr>
        <w:b/>
        <w:i/>
        <w:color w:val="000066"/>
        <w:sz w:val="24"/>
        <w:szCs w:val="24"/>
      </w:rPr>
      <w:t>2013-2014</w:t>
    </w:r>
  </w:p>
  <w:p w:rsidR="00E2797A" w:rsidRDefault="00E279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0B4"/>
    <w:multiLevelType w:val="hybridMultilevel"/>
    <w:tmpl w:val="2A44F924"/>
    <w:lvl w:ilvl="0" w:tplc="6D54C4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F040A"/>
    <w:multiLevelType w:val="multilevel"/>
    <w:tmpl w:val="2B1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427B1"/>
    <w:multiLevelType w:val="multilevel"/>
    <w:tmpl w:val="37529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61FD4"/>
    <w:multiLevelType w:val="multilevel"/>
    <w:tmpl w:val="7DD86B52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B3C14"/>
    <w:multiLevelType w:val="multilevel"/>
    <w:tmpl w:val="2B1067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autoHyphenation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97A"/>
    <w:rsid w:val="000421D8"/>
    <w:rsid w:val="00087209"/>
    <w:rsid w:val="000A2617"/>
    <w:rsid w:val="0011056B"/>
    <w:rsid w:val="00112A72"/>
    <w:rsid w:val="0018259C"/>
    <w:rsid w:val="001C4592"/>
    <w:rsid w:val="0020375A"/>
    <w:rsid w:val="002825B3"/>
    <w:rsid w:val="002B0A6E"/>
    <w:rsid w:val="00304EF9"/>
    <w:rsid w:val="00311739"/>
    <w:rsid w:val="00356A84"/>
    <w:rsid w:val="00375E17"/>
    <w:rsid w:val="00384AD2"/>
    <w:rsid w:val="00384B08"/>
    <w:rsid w:val="00390952"/>
    <w:rsid w:val="003F2C77"/>
    <w:rsid w:val="00427932"/>
    <w:rsid w:val="00441729"/>
    <w:rsid w:val="00461C01"/>
    <w:rsid w:val="004B3665"/>
    <w:rsid w:val="004B5734"/>
    <w:rsid w:val="004C1C5F"/>
    <w:rsid w:val="004F7627"/>
    <w:rsid w:val="005453D0"/>
    <w:rsid w:val="005961C0"/>
    <w:rsid w:val="005A71DD"/>
    <w:rsid w:val="005D561B"/>
    <w:rsid w:val="00691D48"/>
    <w:rsid w:val="006A2E29"/>
    <w:rsid w:val="00752D1D"/>
    <w:rsid w:val="007A487F"/>
    <w:rsid w:val="007E5B80"/>
    <w:rsid w:val="00802340"/>
    <w:rsid w:val="00820BDF"/>
    <w:rsid w:val="00875A75"/>
    <w:rsid w:val="008A4ED1"/>
    <w:rsid w:val="009040B8"/>
    <w:rsid w:val="009144CE"/>
    <w:rsid w:val="009A5F34"/>
    <w:rsid w:val="00A874B8"/>
    <w:rsid w:val="00AC46E5"/>
    <w:rsid w:val="00AD0D3F"/>
    <w:rsid w:val="00AE7527"/>
    <w:rsid w:val="00AF3576"/>
    <w:rsid w:val="00AF5890"/>
    <w:rsid w:val="00B22FEE"/>
    <w:rsid w:val="00B4623D"/>
    <w:rsid w:val="00B46E09"/>
    <w:rsid w:val="00B51AE6"/>
    <w:rsid w:val="00B75842"/>
    <w:rsid w:val="00BB5CC2"/>
    <w:rsid w:val="00BD5935"/>
    <w:rsid w:val="00C26C01"/>
    <w:rsid w:val="00C33088"/>
    <w:rsid w:val="00C56B50"/>
    <w:rsid w:val="00C63501"/>
    <w:rsid w:val="00C8634E"/>
    <w:rsid w:val="00D047D0"/>
    <w:rsid w:val="00D323D2"/>
    <w:rsid w:val="00DA7B6B"/>
    <w:rsid w:val="00E0244C"/>
    <w:rsid w:val="00E2797A"/>
    <w:rsid w:val="00E43BA8"/>
    <w:rsid w:val="00E54562"/>
    <w:rsid w:val="00E82DDD"/>
    <w:rsid w:val="00E919D6"/>
    <w:rsid w:val="00E92A3E"/>
    <w:rsid w:val="00EE1841"/>
    <w:rsid w:val="00F236DA"/>
    <w:rsid w:val="00F6090D"/>
    <w:rsid w:val="00F6497D"/>
    <w:rsid w:val="00F77301"/>
    <w:rsid w:val="00F90031"/>
    <w:rsid w:val="00F9208D"/>
    <w:rsid w:val="00F970CE"/>
    <w:rsid w:val="00FB7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797A"/>
    <w:pPr>
      <w:suppressAutoHyphens/>
      <w:autoSpaceDN w:val="0"/>
      <w:spacing w:after="200" w:line="276" w:lineRule="auto"/>
      <w:textAlignment w:val="baseline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E2797A"/>
    <w:pPr>
      <w:ind w:left="720"/>
    </w:pPr>
  </w:style>
  <w:style w:type="paragraph" w:styleId="Header">
    <w:name w:val="header"/>
    <w:basedOn w:val="Normal"/>
    <w:rsid w:val="00E27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E2797A"/>
    <w:rPr>
      <w:sz w:val="22"/>
      <w:szCs w:val="22"/>
    </w:rPr>
  </w:style>
  <w:style w:type="paragraph" w:styleId="Footer">
    <w:name w:val="footer"/>
    <w:basedOn w:val="Normal"/>
    <w:rsid w:val="00E27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E2797A"/>
    <w:rPr>
      <w:sz w:val="22"/>
      <w:szCs w:val="22"/>
    </w:rPr>
  </w:style>
  <w:style w:type="paragraph" w:styleId="NoSpacing">
    <w:name w:val="No Spacing"/>
    <w:uiPriority w:val="1"/>
    <w:qFormat/>
    <w:rsid w:val="00B51AE6"/>
    <w:pPr>
      <w:suppressAutoHyphens/>
      <w:autoSpaceDN w:val="0"/>
      <w:textAlignment w:val="baseline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2017-08-16T16:35:00Z</cp:lastPrinted>
  <dcterms:created xsi:type="dcterms:W3CDTF">2018-11-15T19:49:00Z</dcterms:created>
  <dcterms:modified xsi:type="dcterms:W3CDTF">2019-01-17T13:31:00Z</dcterms:modified>
</cp:coreProperties>
</file>